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color w:val="8C6F14"/>
          <w:sz w:val="18"/>
          <w:szCs w:val="18"/>
        </w:rPr>
        <w:t xml:space="preserve">COLDMATCH GROUP · CONSULTANT PARTNER PROGRAM</w:t>
      </w:r>
    </w:p>
    <w:p>
      <w:pPr>
        <w:pStyle w:val="Heading1"/>
      </w:pPr>
      <w:r>
        <w:t xml:space="preserve">Cold Chain Consultant Toolkit</w:t>
      </w:r>
    </w:p>
    <w:p>
      <w:pPr>
        <w:spacing w:after="120"/>
      </w:pPr>
      <w:r>
        <w:t xml:space="preserve">A working kit for cold chain consultants, refrigeration engineers and cold storage advisors who source equipment for their clients. ColdMatch Group is a supplier-neutral procurement and sourcing platform for commercial industrial cooling projects from USD $250,000 upward. We support the consultant behind the scenes — we do not replace the consultant’s relationship with the client.</w:t>
      </w:r>
    </w:p>
    <w:p>
      <w:pPr>
        <w:spacing w:after="120"/>
      </w:pPr>
      <w:r>
        <w:t xml:space="preserve">Version 1.0 · coldmatchgroup.com/consultant-toolkit</w:t>
      </w:r>
    </w:p>
    <w:p>
      <w:pPr>
        <w:pStyle w:val="Heading2"/>
      </w:pPr>
      <w:r>
        <w:t xml:space="preserve">1. Client project brief — minimum data set</w:t>
      </w:r>
    </w:p>
    <w:p>
      <w:pPr>
        <w:spacing w:after="120"/>
      </w:pPr>
      <w:r>
        <w:t xml:space="preserve">Suppliers can only be compared when every quote answers the same questions. Fill this in with the client before any supplier is contacted.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FE3C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FE3C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What to record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Client and site country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Legal entity, project city, site coordinates if available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Application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Cold room, blast freezer, IQF line, packhouse, distribution centre, pharma store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Product stored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Product type, packaging, daily throughput in tonnes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Temperature band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Target °C and tolerance; separate rooms with separate bands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Capacity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Pallet positions or m³ net, plus clear internal height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Ambient design conditions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Summer design dry bulb °C and relative humidity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Refrigerant preference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NH3, CO2, HFC/HFO, or supplier proposal with justification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Site status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Greenfield, existing building, retrofit of running plant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Power supply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Voltage, phases, frequency, available kVA, generator backup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Scope split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Supply only, supply and install, or supply, install and commission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Target dates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Order date, delivery window, required commissioning date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Budget band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Indicative CapEx band and funding route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Standards required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ISO 22000, HACCP, GDP, EN 378, CE/PED, local codes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Documentation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Drawings, load calculations, O&amp;M manuals, spare parts list</w:t>
            </w:r>
          </w:p>
        </w:tc>
      </w:tr>
    </w:tbl>
    <w:p>
      <w:r>
        <w:br w:type="page"/>
      </w:r>
    </w:p>
    <w:p>
      <w:pPr>
        <w:pStyle w:val="Heading2"/>
      </w:pPr>
      <w:r>
        <w:t xml:space="preserve">2. Supplier evaluation scorecard</w:t>
      </w:r>
    </w:p>
    <w:p>
      <w:pPr>
        <w:spacing w:after="120"/>
      </w:pPr>
      <w:r>
        <w:t xml:space="preserve">Score each shortlisted supplier 1–5 per criterion, multiply by the weight and compare totals. Keep the weights fixed across the shortlist.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1400"/>
        <w:gridCol w:w="3760"/>
      </w:tblGrid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FE3C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Criterion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FE3C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Weight</w:t>
            </w:r>
          </w:p>
        </w:tc>
        <w:tc>
          <w:tcPr>
            <w:tcW w:type="dxa" w:w="3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FE3C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What good looks like</w:t>
            </w:r>
          </w:p>
        </w:tc>
      </w:tr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Scope fit to the brief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20%</w:t>
            </w:r>
          </w:p>
        </w:tc>
        <w:tc>
          <w:tcPr>
            <w:tcW w:type="dxa" w:w="3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Quotes the exact scope; exclusions written out</w:t>
            </w:r>
          </w:p>
        </w:tc>
      </w:tr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Reference projects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15%</w:t>
            </w:r>
          </w:p>
        </w:tc>
        <w:tc>
          <w:tcPr>
            <w:tcW w:type="dxa" w:w="3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Two or more at comparable capacity, temperature and climate</w:t>
            </w:r>
          </w:p>
        </w:tc>
      </w:tr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Technical documentation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15%</w:t>
            </w:r>
          </w:p>
        </w:tc>
        <w:tc>
          <w:tcPr>
            <w:tcW w:type="dxa" w:w="3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Load calculation, layout, equipment schedule attached</w:t>
            </w:r>
          </w:p>
        </w:tc>
      </w:tr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Delivery and lead time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10%</w:t>
            </w:r>
          </w:p>
        </w:tc>
        <w:tc>
          <w:tcPr>
            <w:tcW w:type="dxa" w:w="3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Committed lead time with milestones and penalties</w:t>
            </w:r>
          </w:p>
        </w:tc>
      </w:tr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Installation and commissioning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10%</w:t>
            </w:r>
          </w:p>
        </w:tc>
        <w:tc>
          <w:tcPr>
            <w:tcW w:type="dxa" w:w="3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Named team, site duration, commissioning protocol</w:t>
            </w:r>
          </w:p>
        </w:tc>
      </w:tr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After-sales and spares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10%</w:t>
            </w:r>
          </w:p>
        </w:tc>
        <w:tc>
          <w:tcPr>
            <w:tcW w:type="dxa" w:w="3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In-country service, response time, spare parts list</w:t>
            </w:r>
          </w:p>
        </w:tc>
      </w:tr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Compliance and certification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10%</w:t>
            </w:r>
          </w:p>
        </w:tc>
        <w:tc>
          <w:tcPr>
            <w:tcW w:type="dxa" w:w="3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Certificate numbers, refrigerant compliance in destination</w:t>
            </w:r>
          </w:p>
        </w:tc>
      </w:tr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Commercial terms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10%</w:t>
            </w:r>
          </w:p>
        </w:tc>
        <w:tc>
          <w:tcPr>
            <w:tcW w:type="dxa" w:w="3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Payment terms, validity, warranty, Incoterms stated</w:t>
            </w:r>
          </w:p>
        </w:tc>
      </w:tr>
    </w:tbl>
    <w:p>
      <w:pPr>
        <w:pStyle w:val="Heading2"/>
      </w:pPr>
      <w:r>
        <w:t xml:space="preserve">3. Quote comparison sheet</w:t>
      </w:r>
    </w:p>
    <w:p>
      <w:pPr>
        <w:spacing w:after="120"/>
      </w:pPr>
      <w:r>
        <w:t xml:space="preserve">Never compare headline prices. Normalise first.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FE3C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Line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FE3C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Supplier A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FE3C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Supplier B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Equipment CapEx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Installation and commissioning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Freight and Incoterm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Duties and local taxes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Spare parts package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Annual energy cost estimate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Service contract, year 1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Stated exclusions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Lead time (weeks)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Warranty (months)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Total normalised cost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2"/>
      </w:pPr>
      <w:r>
        <w:t xml:space="preserve">4. Client-ready summary sheet</w:t>
      </w:r>
    </w:p>
    <w:p>
      <w:pPr>
        <w:spacing w:after="120"/>
      </w:pPr>
      <w:r>
        <w:t xml:space="preserve">The one-page structure clients approve fastest. Present it under your own brand.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Project objective and constraints in three lines.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Recommended technical configuration and why it fits the product and climate.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Shortlist of two to three suppliers with scorecard totals.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Normalised total cost of ownership, not headline price.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Delivery and commissioning timeline with the client’s decision dates marked.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Risks: power, permits, refrigerant regulation, currency, lead time.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Funding route: equity, bank, leasing or export credit — indicative only.</w:t>
      </w:r>
    </w:p>
    <w:p>
      <w:pPr>
        <w:pStyle w:val="Heading2"/>
      </w:pPr>
      <w:r>
        <w:t xml:space="preserve">5. Working with ColdMatch Group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You stay client-facing. We do not contact your client unless you ask us to.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White-label available: shortlists and RFQ documents can carry your brand.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NDA on request before any project data reaches suppliers.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Projects from USD $250,000 upward get the full sourcing process.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We are supplier-neutral: no supplier buys placement on a shortlist.</w:t>
      </w:r>
    </w:p>
    <w:p>
      <w:pPr>
        <w:pStyle w:val="Heading2"/>
      </w:pPr>
      <w:r>
        <w:t xml:space="preserve">6. Financing note</w:t>
      </w:r>
    </w:p>
    <w:p>
      <w:pPr>
        <w:spacing w:after="120"/>
      </w:pPr>
      <w:r>
        <w:rPr>
          <w:sz w:val="20"/>
          <w:szCs w:val="20"/>
        </w:rPr>
        <w:t xml:space="preserve">ColdMatch Group is not a lender, a broker or a financial adviser, and does not provide financing, credit or investment advice. Where financing direction is requested we prepare a bankability summary and point to third-party lenders, leasing companies and export credit agencies. All terms are agreed directly between the client and the financing institution.</w:t>
      </w:r>
    </w:p>
    <w:p>
      <w:pPr>
        <w:pStyle w:val="Heading2"/>
      </w:pPr>
      <w:r>
        <w:t xml:space="preserve">7. Tools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RFQ Readiness Score — coldmatchgroup.com/tools/rfq-readiness-score-calculator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Financing Eligibility — coldmatchgroup.com/tools/financing-eligibility-calculator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Cold room and refrigeration load calculators — coldmatchgroup.com/tools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How ColdMatch Group works — coldmatchgroup.com/how-coldmatch-works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240"/>
      <w:outlineLvl w:val="0"/>
    </w:pPr>
    <w:rPr>
      <w:rFonts w:ascii="Arial" w:cs="Arial" w:eastAsia="Arial" w:hAnsi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40" w:before="220"/>
      <w:outlineLvl w:val="1"/>
    </w:pPr>
    <w:rPr>
      <w:rFonts w:ascii="Arial" w:cs="Arial" w:eastAsia="Arial" w:hAnsi="Arial"/>
      <w:b/>
      <w:bCs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2026-08-23T18:02:31.336Z</dcterms:created>
  <dcterms:modified xsi:type="dcterms:W3CDTF">2026-08-23T18:02:31.338Z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